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FC" w:rsidRDefault="00AB3DFC" w:rsidP="00AB3DFC">
      <w:pPr>
        <w:spacing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AB3DFC" w:rsidRPr="00AB3DFC" w:rsidRDefault="00AB3DFC" w:rsidP="00AB3DFC">
      <w:pPr>
        <w:numPr>
          <w:ilvl w:val="0"/>
          <w:numId w:val="1"/>
        </w:numPr>
        <w:spacing w:beforeAutospacing="1" w:after="100" w:afterAutospacing="1" w:line="240" w:lineRule="auto"/>
        <w:ind w:left="44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B3DF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Enhance metric collectors to dump all available JMX and PMI metrics to a file to make it </w:t>
      </w:r>
      <w:r w:rsidRPr="00AB3DFC">
        <w:rPr>
          <w:rFonts w:ascii="Arial" w:eastAsia="Times New Roman" w:hAnsi="Arial" w:cs="Arial"/>
          <w:b/>
          <w:color w:val="000000"/>
          <w:sz w:val="20"/>
          <w:szCs w:val="20"/>
        </w:rPr>
        <w:br/>
        <w:t xml:space="preserve">easier to configure new JMX/PMI metrics in </w:t>
      </w:r>
      <w:proofErr w:type="spellStart"/>
      <w:r w:rsidRPr="00AB3DFC">
        <w:rPr>
          <w:rFonts w:ascii="Arial" w:eastAsia="Times New Roman" w:hAnsi="Arial" w:cs="Arial"/>
          <w:b/>
          <w:color w:val="000000"/>
          <w:sz w:val="20"/>
          <w:szCs w:val="20"/>
        </w:rPr>
        <w:t>metrics.config</w:t>
      </w:r>
      <w:proofErr w:type="spellEnd"/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0" w:name="wp9000241"/>
      <w:bookmarkEnd w:id="0"/>
      <w:r w:rsidRPr="00AB3DFC">
        <w:rPr>
          <w:rFonts w:ascii="Verdana" w:eastAsia="Times New Roman" w:hAnsi="Verdana" w:cs="Arial"/>
          <w:color w:val="000000"/>
          <w:sz w:val="20"/>
          <w:szCs w:val="20"/>
        </w:rPr>
        <w:t>Background: Chapters 20-22 of the Installation and Configuration Gui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de explains to the user how to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>customize the JMX/PMI metrics collectors.   Part of the configuration for this metrics collector is to modify the etc/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metrics.config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file and add metric information to this file for Diagnostics to collect.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>The difficulty of doing this is that the user must get the metric names exac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tly right for it to work. This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was error prone and frustrating for the user.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" w:name="wp9000242"/>
      <w:bookmarkEnd w:id="1"/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r w:rsidRPr="00AB3DFC">
        <w:rPr>
          <w:rFonts w:ascii="Verdana" w:eastAsia="Times New Roman" w:hAnsi="Verdana" w:cs="Arial"/>
          <w:color w:val="000000"/>
          <w:sz w:val="20"/>
          <w:szCs w:val="20"/>
        </w:rPr>
        <w:t>Description: In order to make this configuration somewhat easier, a feature was added to dump all the available metrics for each JMX collector into a file.  When the f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ollowing property in the probe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>etc/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metrics.config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file is set to true, the probe will dump the available metrics of each JMX/PMI collecto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r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>to text files in the probe log directory. This property can be changed at r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untime. It is recommended that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the property is only set to true temporarily to dump the available JMX/PMI metrics. After the metrics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>are dumped, the property can be set back to false (or comment out) to avoid the overhead when the probe periodically dumping the metrics. The dump file is at &lt;probe-dir&gt;/log/&lt;pr</w:t>
      </w:r>
      <w:r>
        <w:rPr>
          <w:rFonts w:ascii="Verdana" w:eastAsia="Times New Roman" w:hAnsi="Verdana" w:cs="Arial"/>
          <w:color w:val="000000"/>
          <w:sz w:val="20"/>
          <w:szCs w:val="20"/>
        </w:rPr>
        <w:t>obe-id&gt;/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</w:rPr>
        <w:t>jmx_metrics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</w:rPr>
        <w:t>_&lt;collector-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name&gt;.txt.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" w:name="wp9000243"/>
      <w:bookmarkEnd w:id="2"/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default.dump.available.metrics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= true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" w:name="wp9000244"/>
      <w:bookmarkEnd w:id="3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In each dump file, the available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MBean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ObjectNames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and their collectable 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attributes are listed as shown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below: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4" w:name="wp9000245"/>
      <w:bookmarkEnd w:id="4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=======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MBean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ObjectNames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and Available Attributes =======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5" w:name="wp9000246"/>
      <w:bookmarkEnd w:id="5"/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MBean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ObjectName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6" w:name="wp9000247"/>
      <w:bookmarkEnd w:id="6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WebSphere:J2EEServer=server1,JDBCProvider=Derby JDBC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Provider,JDBCResource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=Derby JDBC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>Provider,Server=server1,cell=yli87Node01Cell,diagnosticProvider=true,j2eeType=JDBCDataSource,mbe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>anIdentifier=cells/yli87Node01Cell/nodes/yli87Node01/servers/server1/resources.xml#DataSource_12442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>31364323,name=WST_PriceGen,node=yli87Node01,platform=dynamicproxy,process=server1,spec=1.0,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>type=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DataSource,version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=6.1.0.0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7" w:name="wp9000248"/>
      <w:bookmarkEnd w:id="7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Available Attributes: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8" w:name="wp9000249"/>
      <w:bookmarkEnd w:id="8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name</w:t>
      </w:r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loginTimeout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type: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int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9" w:name="wp9000250"/>
      <w:bookmarkEnd w:id="9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name</w:t>
      </w:r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statementCacheSize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type: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int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0" w:name="wp9000251"/>
      <w:bookmarkEnd w:id="10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name</w:t>
      </w:r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: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testConnectionInterval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type: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java.lang.Integer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1" w:name="wp9000252"/>
      <w:bookmarkEnd w:id="11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........................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2" w:name="wp9000253"/>
      <w:bookmarkEnd w:id="12"/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Users may use this info to add a JMX metric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in the probe etc/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metrics.config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file. For example: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3" w:name="wp9000254"/>
      <w:bookmarkEnd w:id="13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WebSphere6/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\:type\=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DataSource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,*.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statementCa</w:t>
      </w:r>
      <w:r>
        <w:rPr>
          <w:rFonts w:ascii="Verdana" w:eastAsia="Times New Roman" w:hAnsi="Verdana" w:cs="Arial"/>
          <w:color w:val="000000"/>
          <w:sz w:val="20"/>
          <w:szCs w:val="20"/>
        </w:rPr>
        <w:t>cheSize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= JDBC Statement Cache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Size|bytes|JDBC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DataSource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4" w:name="wp9000255"/>
      <w:bookmarkEnd w:id="14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Or, they may use the optional GROUPBY modifier to create a separate metric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for each matched group of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MBean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ObjectNames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with the same value of the key specified by GROUPBY.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5" w:name="wp9000256"/>
      <w:bookmarkEnd w:id="15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WebSphere6/GROUPBY[name]/WebSphere\:type\=DataSour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ce,*.statementCacheSize = JDBC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Statement Cache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Size|bytes|JDBC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DataSource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6" w:name="wp9000257"/>
      <w:bookmarkEnd w:id="16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For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JMX collectors, besides the above generic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MBean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JMX me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trics, the available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</w:rPr>
        <w:t>WebSphere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specific PMI metrics are also dumped to the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collector's dump fi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le. This includes the PMI tree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instance paths and their available statistics, and the PMI module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info. For example: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7" w:name="wp9000258"/>
      <w:bookmarkEnd w:id="17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======= PMI Tree and Available PMI Statistics =======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8" w:name="wp9000259"/>
      <w:bookmarkEnd w:id="18"/>
      <w:proofErr w:type="spellStart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connectionPoolModule</w:t>
      </w:r>
      <w:proofErr w:type="spellEnd"/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19" w:name="wp9000260"/>
      <w:bookmarkEnd w:id="19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Available Statistics: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0" w:name="wp9000261"/>
      <w:bookmarkEnd w:id="20"/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CreateCount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CloseCount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AllocateCount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ReturnCount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PoolSize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FreePoolSize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WaitingThreadCount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FaultCount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PercentUsed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PercentMaxed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UseTime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WaitTime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ManagedConnectionCount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ConnectionHandleCount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PrepStmtCacheDiscardCount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JDBCTime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1" w:name="wp9000262"/>
      <w:bookmarkEnd w:id="21"/>
      <w:proofErr w:type="spellStart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connectionPoolModule</w:t>
      </w:r>
      <w:proofErr w:type="spellEnd"/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-&gt;Derby JDBC Provider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2" w:name="wp9000263"/>
      <w:bookmarkEnd w:id="22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Available Statistics: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3" w:name="wp9000264"/>
      <w:bookmarkEnd w:id="23"/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CreateCount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CloseCount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AllocateCount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ReturnCount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PoolSize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FreePoolSize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WaitingThreadCount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FaultCount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PercentUsed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PercentMaxed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UseTime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WaitTime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ManagedConnectionCount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ConnectionHandleCount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PrepStmtCacheDiscardCount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JDBCTime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4" w:name="wp9000265"/>
      <w:bookmarkEnd w:id="24"/>
      <w:proofErr w:type="spellStart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connectionPoolModule</w:t>
      </w:r>
      <w:proofErr w:type="spellEnd"/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-&gt;Derby JDBC Provider-&gt;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jdbc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/ALBUM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5" w:name="wp9000266"/>
      <w:bookmarkEnd w:id="25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Available Statistics: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6" w:name="wp9000267"/>
      <w:bookmarkEnd w:id="26"/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CreateCount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CloseCount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AllocateCount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ReturnCount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PoolSize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FreePoolSize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WaitingThreadCount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FaultCount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PercentUsed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PercentMaxed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UseTime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WaitTime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ManagedConnectionCount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ConnectionHandleCount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PrepStmtCacheDiscardCount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,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JDBCTime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7" w:name="wp9000268"/>
      <w:bookmarkEnd w:id="27"/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Users may use the above PMI info to add new PMI metric/statistic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configs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to the probe etc/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metrics.config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file. For example: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8" w:name="wp9000269"/>
      <w:bookmarkEnd w:id="28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WebSphere6/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connectionPoolModule.CreateCount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= JDBC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Connection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</w:rPr>
        <w:t>Creates|count|JDBC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29" w:name="wp9000270"/>
      <w:bookmarkEnd w:id="29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WebSphere6</w:t>
      </w:r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/[</w:t>
      </w:r>
      <w:proofErr w:type="spellStart"/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connectionPoolModule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][Derby\ JDBC\ Provider][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jdbc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/ALBUM].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AllocateCount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= JDBC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Connection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Allocates|count|JDBC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Default="00AB3DFC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30" w:name="wp9000272"/>
      <w:bookmarkEnd w:id="30"/>
      <w:r>
        <w:rPr>
          <w:rFonts w:ascii="Arial" w:eastAsia="Times New Roman" w:hAnsi="Arial" w:cs="Arial"/>
          <w:b/>
          <w:color w:val="000000"/>
          <w:sz w:val="20"/>
          <w:szCs w:val="20"/>
        </w:rPr>
        <w:br w:type="page"/>
      </w:r>
    </w:p>
    <w:p w:rsidR="00AB3DFC" w:rsidRPr="00AB3DFC" w:rsidRDefault="00AB3DFC" w:rsidP="00AB3DFC">
      <w:pPr>
        <w:numPr>
          <w:ilvl w:val="0"/>
          <w:numId w:val="1"/>
        </w:numPr>
        <w:spacing w:before="100" w:beforeAutospacing="1" w:after="100" w:afterAutospacing="1" w:line="240" w:lineRule="auto"/>
        <w:ind w:left="44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B3DFC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>Enhance probe metric collector to support GROUPBY like functionality for PMI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1" w:name="wp9000273"/>
      <w:bookmarkEnd w:id="31"/>
      <w:r w:rsidRPr="00AB3DFC">
        <w:rPr>
          <w:rFonts w:ascii="Verdana" w:eastAsia="Times New Roman" w:hAnsi="Verdana" w:cs="Arial"/>
          <w:color w:val="000000"/>
          <w:sz w:val="20"/>
          <w:szCs w:val="20"/>
        </w:rPr>
        <w:t>Background: In the probe's etc/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metrics.config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file, for JMX metrics that 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describes an </w:t>
      </w:r>
      <w:proofErr w:type="spellStart"/>
      <w:r>
        <w:rPr>
          <w:rFonts w:ascii="Verdana" w:eastAsia="Times New Roman" w:hAnsi="Verdana" w:cs="Arial"/>
          <w:color w:val="000000"/>
          <w:sz w:val="20"/>
          <w:szCs w:val="20"/>
        </w:rPr>
        <w:t>MBean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object name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pattern there is an optional modifier GROUPBY that can be added, which 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tells a JMX-based collector to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treat the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metric_config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as multi-instance expression: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2" w:name="wp9000274"/>
      <w:bookmarkEnd w:id="32"/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collector_name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/</w:t>
      </w:r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GROUPBY[</w:t>
      </w:r>
      <w:proofErr w:type="spellStart"/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oname_key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]/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metric_config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= ...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3" w:name="wp9000275"/>
      <w:bookmarkEnd w:id="33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The collector will find all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MBeans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matching the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metric_config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and create a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corresponding metric for each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of them using the object name key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oname_key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to provide unique naming by appending it to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category_id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.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4" w:name="wp9000276"/>
      <w:bookmarkEnd w:id="34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Description: Starting with 8.02, it is now possible to group PMI metrics in a similar as JMX me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trics.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>For PMI, the EXPAND_PMI modifier is specified to expand the PMI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 tree from the given module or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StatDescriptor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branch by the specified level. The expansion level "n" can be 1, </w:t>
      </w:r>
      <w:r>
        <w:rPr>
          <w:rFonts w:ascii="Verdana" w:eastAsia="Times New Roman" w:hAnsi="Verdana" w:cs="Arial"/>
          <w:color w:val="000000"/>
          <w:sz w:val="20"/>
          <w:szCs w:val="20"/>
        </w:rPr>
        <w:t>2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</w:rPr>
        <w:t>, ...,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</w:rPr>
        <w:t xml:space="preserve"> or *, with the default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level of 1 and * means expand all: </w:t>
      </w:r>
    </w:p>
    <w:p w:rsid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5" w:name="wp9000277"/>
      <w:bookmarkEnd w:id="35"/>
      <w:proofErr w:type="spellStart"/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collector_name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/EXPAND_PMI[</w:t>
      </w:r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>n]/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metric_config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= ...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6" w:name="wp9000278"/>
      <w:bookmarkEnd w:id="36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For example, </w:t>
      </w:r>
    </w:p>
    <w:p w:rsidR="00AB3DFC" w:rsidRPr="00AB3DFC" w:rsidRDefault="00AB3DFC" w:rsidP="00AB3DFC">
      <w:pPr>
        <w:spacing w:before="60" w:after="6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7" w:name="wp9000279"/>
      <w:bookmarkEnd w:id="37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WebSphere6/EXPAND_PMI[*]/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connectionPoolModule.AllocateCount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= JDBC Connection </w:t>
      </w:r>
      <w:r w:rsidRPr="00AB3DFC">
        <w:rPr>
          <w:rFonts w:ascii="Verdana" w:eastAsia="Times New Roman" w:hAnsi="Verdana" w:cs="Arial"/>
          <w:color w:val="000000"/>
          <w:sz w:val="20"/>
          <w:szCs w:val="20"/>
        </w:rPr>
        <w:br/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Allocates|count|JDBC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ConnectionPools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</w:p>
    <w:p w:rsidR="00AB3DFC" w:rsidRDefault="00AB3DFC" w:rsidP="00AB3DFC">
      <w:pPr>
        <w:spacing w:before="60" w:after="10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bookmarkStart w:id="38" w:name="wp9000280"/>
      <w:bookmarkEnd w:id="38"/>
    </w:p>
    <w:p w:rsidR="00AB3DFC" w:rsidRPr="00AB3DFC" w:rsidRDefault="00AB3DFC" w:rsidP="00AB3DFC">
      <w:pPr>
        <w:spacing w:before="60" w:after="100" w:line="240" w:lineRule="auto"/>
        <w:ind w:left="460"/>
        <w:rPr>
          <w:rFonts w:ascii="Verdana" w:eastAsia="Times New Roman" w:hAnsi="Verdana" w:cs="Arial"/>
          <w:color w:val="000000"/>
          <w:sz w:val="20"/>
          <w:szCs w:val="20"/>
        </w:rPr>
      </w:pPr>
      <w:proofErr w:type="gram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will</w:t>
      </w:r>
      <w:proofErr w:type="gram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create "JDBC Connection Allocates" metric for each JDBC connection pool pro</w:t>
      </w:r>
      <w:r>
        <w:rPr>
          <w:rFonts w:ascii="Verdana" w:eastAsia="Times New Roman" w:hAnsi="Verdana" w:cs="Arial"/>
          <w:color w:val="000000"/>
          <w:sz w:val="20"/>
          <w:szCs w:val="20"/>
        </w:rPr>
        <w:t xml:space="preserve">vider and for each </w:t>
      </w:r>
      <w:proofErr w:type="spellStart"/>
      <w:r w:rsidRPr="00AB3DFC">
        <w:rPr>
          <w:rFonts w:ascii="Verdana" w:eastAsia="Times New Roman" w:hAnsi="Verdana" w:cs="Arial"/>
          <w:color w:val="000000"/>
          <w:sz w:val="20"/>
          <w:szCs w:val="20"/>
        </w:rPr>
        <w:t>DataSource</w:t>
      </w:r>
      <w:proofErr w:type="spellEnd"/>
      <w:r w:rsidRPr="00AB3DFC">
        <w:rPr>
          <w:rFonts w:ascii="Verdana" w:eastAsia="Times New Roman" w:hAnsi="Verdana" w:cs="Arial"/>
          <w:color w:val="000000"/>
          <w:sz w:val="20"/>
          <w:szCs w:val="20"/>
        </w:rPr>
        <w:t xml:space="preserve"> of the provider. </w:t>
      </w:r>
    </w:p>
    <w:p w:rsidR="004A78C7" w:rsidRDefault="00AB3DFC"/>
    <w:sectPr w:rsidR="004A78C7" w:rsidSect="0093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87C04"/>
    <w:multiLevelType w:val="multilevel"/>
    <w:tmpl w:val="054C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B3DFC"/>
    <w:rsid w:val="00070A27"/>
    <w:rsid w:val="000E1260"/>
    <w:rsid w:val="001974EE"/>
    <w:rsid w:val="00246222"/>
    <w:rsid w:val="00392958"/>
    <w:rsid w:val="003E4727"/>
    <w:rsid w:val="004E50B1"/>
    <w:rsid w:val="004F21E2"/>
    <w:rsid w:val="00576014"/>
    <w:rsid w:val="005B6F7B"/>
    <w:rsid w:val="005D6A1A"/>
    <w:rsid w:val="006519BE"/>
    <w:rsid w:val="006718F6"/>
    <w:rsid w:val="00720E99"/>
    <w:rsid w:val="007662B7"/>
    <w:rsid w:val="007666A5"/>
    <w:rsid w:val="008837DF"/>
    <w:rsid w:val="0093316F"/>
    <w:rsid w:val="009D0907"/>
    <w:rsid w:val="00A13BF3"/>
    <w:rsid w:val="00AB3DFC"/>
    <w:rsid w:val="00B17CF2"/>
    <w:rsid w:val="00B227C1"/>
    <w:rsid w:val="00B566C7"/>
    <w:rsid w:val="00B84E4F"/>
    <w:rsid w:val="00BC0770"/>
    <w:rsid w:val="00C51A92"/>
    <w:rsid w:val="00CC44D2"/>
    <w:rsid w:val="00CE7C82"/>
    <w:rsid w:val="00E342D0"/>
    <w:rsid w:val="00EB0821"/>
    <w:rsid w:val="00ED631B"/>
    <w:rsid w:val="00F06A6B"/>
    <w:rsid w:val="00F35170"/>
    <w:rsid w:val="00F70938"/>
    <w:rsid w:val="00FD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ndent">
    <w:name w:val="pindent"/>
    <w:basedOn w:val="Normal"/>
    <w:rsid w:val="00AB3DFC"/>
    <w:pPr>
      <w:spacing w:before="60" w:after="60" w:line="240" w:lineRule="auto"/>
      <w:ind w:left="100"/>
    </w:pPr>
    <w:rPr>
      <w:rFonts w:ascii="Verdana" w:eastAsia="Times New Roman" w:hAnsi="Verdana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4461">
          <w:blockQuote w:val="1"/>
          <w:marLeft w:val="20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163">
              <w:marLeft w:val="80"/>
              <w:marRight w:val="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7425">
                  <w:marLeft w:val="8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5600">
                  <w:marLeft w:val="80"/>
                  <w:marRight w:val="0"/>
                  <w:marTop w:val="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830</Words>
  <Characters>4731</Characters>
  <Application>Microsoft Office Word</Application>
  <DocSecurity>0</DocSecurity>
  <Lines>39</Lines>
  <Paragraphs>11</Paragraphs>
  <ScaleCrop>false</ScaleCrop>
  <Company>Hewlett Packard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Sunil (Software, Roseville)</dc:creator>
  <cp:keywords/>
  <dc:description/>
  <cp:lastModifiedBy>Joseph, Sunil (Software, Roseville)</cp:lastModifiedBy>
  <cp:revision>1</cp:revision>
  <dcterms:created xsi:type="dcterms:W3CDTF">2009-06-16T19:02:00Z</dcterms:created>
  <dcterms:modified xsi:type="dcterms:W3CDTF">2009-06-16T19:12:00Z</dcterms:modified>
</cp:coreProperties>
</file>